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666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0067-01-2024-002764-82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д.9, каб.402,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35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иной </w:t>
      </w:r>
      <w:r>
        <w:rPr>
          <w:rStyle w:val="cat-UserDefinedgrp-4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4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период времени с 10:00 до 11:31 часов прокуратурой города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проведения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законодательства об антитеррористичес</w:t>
      </w:r>
      <w:r>
        <w:rPr>
          <w:rFonts w:ascii="Times New Roman" w:eastAsia="Times New Roman" w:hAnsi="Times New Roman" w:cs="Times New Roman"/>
          <w:sz w:val="26"/>
          <w:szCs w:val="26"/>
        </w:rPr>
        <w:t>кой защищенности объекта спорта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фитнес –центр</w:t>
      </w:r>
      <w:r>
        <w:rPr>
          <w:rFonts w:ascii="Times New Roman" w:eastAsia="Times New Roman" w:hAnsi="Times New Roman" w:cs="Times New Roman"/>
          <w:sz w:val="26"/>
          <w:szCs w:val="26"/>
        </w:rPr>
        <w:t>а «Норе», принадлежащего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г. Сургут, ул. </w:t>
      </w:r>
      <w:r>
        <w:rPr>
          <w:rStyle w:val="cat-UserDefinedgrp-50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установлено, что на объекте не определено должностное лицо, ответственное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Федерации, также на объекте не приняты меры по обеспечению защиты служебной информации ограниченного распространения, содержащейся в паспорте безопасности объекта спорта и иных документах объекта спорта, в том числе в служебной информации ограниченного распространения о принимаемых мерах по его антитеррористической защищенности (отсутствует организационно –распорядительные документы, регламентирующие порядок хранения паспорта безопасности, перечень лиц, имеющих право допуска к работе с паспортом безопасности), кроме того, на объекте не обеспечен достаточный уровень подготовки должностных лиц и персонала объектов спорта к действиям по пресечению попыток совершения террористи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ческих актов на объектах спорта, помимо этого, копии (электронные копии) паспорта безопасности объекта спорта не направлены в территориальный орган безопасности и территориальный орган Министерства внутренних дел Российской Федерации по месту нахождения объекта спорта и объект не оборудован системой экстренного оповещения сотрудников и посетителей спорта о потенциальной угрозе возникновения или возникновении чрезвычайной ситуации, чем нарушены пункты 13, 15, 27 Постановления Правительства Российской Федерации от 06.03.2015 № 202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 к антитеррористической защищенности объектов спорта и формы паспорта безопасности объектов спорта".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Клишина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омощник прокурора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Сургута,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не присутствовали, надлежащим образом извещены, о причинах неявки суд не уведомили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 не явившихся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участников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в подтверждение виновнос</w:t>
      </w:r>
      <w:r>
        <w:rPr>
          <w:rFonts w:ascii="Times New Roman" w:eastAsia="Times New Roman" w:hAnsi="Times New Roman" w:cs="Times New Roman"/>
          <w:sz w:val="26"/>
          <w:szCs w:val="26"/>
        </w:rPr>
        <w:t>ти должностного лица Клишиной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суду представлены следующие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о возбуждении дела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от </w:t>
      </w:r>
      <w:r>
        <w:rPr>
          <w:rStyle w:val="cat-UserDefinedgrp-51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Клишиной Л.А. от </w:t>
      </w:r>
      <w:r>
        <w:rPr>
          <w:rStyle w:val="cat-UserDefinedgrp-51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задание о проведении проверки исполнения законодательства о физической культуре и спорте от </w:t>
      </w:r>
      <w:r>
        <w:rPr>
          <w:rStyle w:val="cat-UserDefinedgrp-52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аренды недвижимого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(нежилое здание с земельным участком (Тюменская область, ХМАО-Югра, ул. Республики, д. 65/1)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 от </w:t>
      </w:r>
      <w:r>
        <w:rPr>
          <w:rStyle w:val="cat-UserDefinedgrp-17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приложением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 о вступлении в должность руководителя от </w:t>
      </w:r>
      <w:r>
        <w:rPr>
          <w:rStyle w:val="cat-UserDefinedgrp-53rplc-4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</w:t>
      </w:r>
      <w:r>
        <w:rPr>
          <w:rFonts w:ascii="Times New Roman" w:eastAsia="Times New Roman" w:hAnsi="Times New Roman" w:cs="Times New Roman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 объекта спорта </w:t>
      </w:r>
      <w:r>
        <w:rPr>
          <w:rStyle w:val="cat-UserDefinedgrp-54rplc-4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обследовании.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 Федерального закона от дата N 35-ФЗ "О противодействии терроризму", правовую основу противодействия терроризму составляют </w:t>
      </w:r>
      <w:hyperlink r:id="rId4" w:anchor="/document/1010300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Конституция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 Федерального закона от 06 марта 2006 N 35-ФЗ "О противодействии терроризму" противодействие терроризму в Российской Федерации основывается на принципах обеспечения и защиты, основных прав и свобод человека и гражданина, приоритета защиты прав и законных интересов лиц, подвергающихся террористической опасности, а также минимизация и (или) ликвидация последствий проявлений терроризма.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п.4 ст.3 Федерального закона от 06 марта 2006 N 35-ФЗ "О противодействии терроризму" противодействие терроризму -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минимизации и (или) ликвидации последствий проявлений терроризма.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п.6 ст.3 Федерального закона от 06 марта 2006 N 35-ФЗ "О противодействии терроризму" антитеррористическая защищенность объекта (территории) - состояние защищенности здания, строения, сооружения, иного </w:t>
      </w:r>
      <w:r>
        <w:rPr>
          <w:rFonts w:ascii="Times New Roman" w:eastAsia="Times New Roman" w:hAnsi="Times New Roman" w:cs="Times New Roman"/>
          <w:sz w:val="26"/>
          <w:szCs w:val="26"/>
        </w:rPr>
        <w:t>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4 ч. 2 ст. 5 Федерального закона от 06 марта 2006 N 35-Ф3 "О противодействии терроризму" Правительство РФ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11 «</w:t>
      </w:r>
      <w:r>
        <w:rPr>
          <w:rFonts w:ascii="Times New Roman" w:eastAsia="Times New Roman" w:hAnsi="Times New Roman" w:cs="Times New Roman"/>
          <w:sz w:val="26"/>
          <w:szCs w:val="26"/>
        </w:rPr>
        <w:t>Концепции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противодействия терроризму в Российской Федерации», утвержденной Президентом РФ 05.10.2009 одной из основных задач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посягательств, в том числе объектов с массовым пребыванием людей.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антитеррористической защищенности объектов спорта, а также вопросы осуществления контроля за выполнением указанных требований утверждены постановлением Правительства Российской Федерации от 06.03.2025 № 202 и начали действовать с 19.03.20215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Постановление № 202)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13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№ 202 антитеррористическая защищенность объектов спорта обеспечивается путем осуществления мероприятий в целях: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воспрепятствования неправомерному проникновению на объекты спорта;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выявления потенциальных нарушителей режимов, установленных на объектах спорта, и (или) признаков подготовки или совершения на них террористического акта;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пресечения попыток совершения террористических актов на объектах спорта;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 минимизации возможных последствий и ликвидации угроз совершения террористических актов на объектах спорта;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д) обеспечения защиты служебной информации ограниченного распространения, содержащейся в паспорте безопасности объекта спорта и иных документах объекта спорта, в том числе в служебной информации ограниченного распространения о принимаемых мерах по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антитеррористической защищенности;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е) выявления и предотвращения несанкционированного проноса (провоза) и применения на объектах спорта </w:t>
      </w:r>
      <w:r>
        <w:rPr>
          <w:rFonts w:ascii="Times New Roman" w:eastAsia="Times New Roman" w:hAnsi="Times New Roman" w:cs="Times New Roman"/>
          <w:sz w:val="26"/>
          <w:szCs w:val="26"/>
        </w:rPr>
        <w:t>токсичных химикатов, отравляющих веществ и патогенных биологических агентов, в том числе при их получении с использованием почтовых отправлений.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37 Постановления № 202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безопасности объекта спорта хранится у ответственного лица. Копии (электронные копии) паспорта безопасности объекта спорта направляются в территориальный орган безопасности и территориальный орган Министерства внутренних дел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по месту нахождения объекта спорта.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«в» п. 15 Постановления № 202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необходимой степени антитеррористической защищенности с учетом присвоенной категории опасности объекты спорта первой - третьей категорий опасности оборудуются инженерно-техническими средствами охраны: </w:t>
      </w:r>
      <w:r>
        <w:rPr>
          <w:rFonts w:ascii="Times New Roman" w:eastAsia="Times New Roman" w:hAnsi="Times New Roman" w:cs="Times New Roman"/>
          <w:sz w:val="26"/>
          <w:szCs w:val="26"/>
        </w:rPr>
        <w:t>в частности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объекты спорта, отнесенные к третьей категории опасности: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системой экстренного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оповещения сотрудников и посетителей объекта спорта о потенциальной угрозе возникновения или возн</w:t>
      </w:r>
      <w:r>
        <w:rPr>
          <w:rFonts w:ascii="Times New Roman" w:eastAsia="Times New Roman" w:hAnsi="Times New Roman" w:cs="Times New Roman"/>
          <w:sz w:val="26"/>
          <w:szCs w:val="26"/>
        </w:rPr>
        <w:t>икновении чрезвычайной ситуации.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п.2 Постановления № 202 ответственность за обеспечение антитеррористической защищенности объекта спорта </w:t>
      </w:r>
      <w:r>
        <w:rPr>
          <w:rFonts w:ascii="Times New Roman" w:eastAsia="Times New Roman" w:hAnsi="Times New Roman" w:cs="Times New Roman"/>
          <w:sz w:val="26"/>
          <w:szCs w:val="26"/>
        </w:rPr>
        <w:t>возлагается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руководителя юридического лица, являющегося собственником объекта спорта или использующегося его на ином законном основании,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физическое лицо, являющееся собственником объекта спорта или использующее его на ином законном основании (далее-ответственное лицо), если иное не установлено законодательством Российской Федерации.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риказом №1 от 16.09.2020 на должность исполнительного директора ООО «ФОЦ «Надежда» назначена Клишина Л.А.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нарушении вышеуказанных требований законодательства исполнительным директором ОО</w:t>
      </w:r>
      <w:r>
        <w:rPr>
          <w:rFonts w:ascii="Times New Roman" w:eastAsia="Times New Roman" w:hAnsi="Times New Roman" w:cs="Times New Roman"/>
          <w:sz w:val="26"/>
          <w:szCs w:val="26"/>
        </w:rPr>
        <w:t>О «ФОЦ «Надежда» Клишиной Л.А. д</w:t>
      </w:r>
      <w:r>
        <w:rPr>
          <w:rFonts w:ascii="Times New Roman" w:eastAsia="Times New Roman" w:hAnsi="Times New Roman" w:cs="Times New Roman"/>
          <w:sz w:val="26"/>
          <w:szCs w:val="26"/>
        </w:rPr>
        <w:t>олжным образом не приняты меры по обеспечению антитеррористической защищенности объекта спорта.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 в их совокупности по правилам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Клишиной Л.А.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инкриминируемого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подтверждается совокупностью доказательств, исследованных в судебном заседании, 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подлежат квалификаци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 ч. 1 ст. 20.35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</w:t>
      </w:r>
      <w:hyperlink r:id="rId5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(территорий), за исключением случаев, предусмотренных </w:t>
      </w:r>
      <w:hyperlink r:id="rId5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</w:t>
      </w:r>
      <w:hyperlink r:id="rId5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5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20.30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если эти действия не содержат признаков </w:t>
      </w:r>
      <w:hyperlink r:id="rId5" w:anchor="/document/76817957/entry/2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ном правонарушении,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</w:t>
      </w:r>
      <w:r>
        <w:rPr>
          <w:rFonts w:ascii="Times New Roman" w:eastAsia="Times New Roman" w:hAnsi="Times New Roman" w:cs="Times New Roman"/>
          <w:sz w:val="26"/>
          <w:szCs w:val="26"/>
        </w:rPr>
        <w:t>еяния,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нарушителе</w:t>
      </w:r>
      <w:r>
        <w:rPr>
          <w:rFonts w:ascii="Times New Roman" w:eastAsia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стное лицо Клишину </w:t>
      </w:r>
      <w:r>
        <w:rPr>
          <w:rStyle w:val="cat-UserDefinedgrp-55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20.35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Style w:val="cat-UserDefinedgrp-56rplc-6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КБК 69011601173019000140, Получатель: УФК по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0412365400675006662420109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57rplc-7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2491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8">
    <w:name w:val="cat-UserDefined grp-47 rplc-8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4">
    <w:name w:val="cat-UserDefined grp-49 rplc-24"/>
    <w:basedOn w:val="DefaultParagraphFont"/>
  </w:style>
  <w:style w:type="character" w:customStyle="1" w:styleId="cat-UserDefinedgrp-50rplc-26">
    <w:name w:val="cat-UserDefined grp-50 rplc-26"/>
    <w:basedOn w:val="DefaultParagraphFont"/>
  </w:style>
  <w:style w:type="character" w:customStyle="1" w:styleId="cat-UserDefinedgrp-51rplc-32">
    <w:name w:val="cat-UserDefined grp-51 rplc-32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2rplc-37">
    <w:name w:val="cat-UserDefined grp-52 rplc-37"/>
    <w:basedOn w:val="DefaultParagraphFont"/>
  </w:style>
  <w:style w:type="character" w:customStyle="1" w:styleId="cat-UserDefinedgrp-17rplc-42">
    <w:name w:val="cat-UserDefined grp-17 rplc-42"/>
    <w:basedOn w:val="DefaultParagraphFont"/>
  </w:style>
  <w:style w:type="character" w:customStyle="1" w:styleId="cat-UserDefinedgrp-53rplc-44">
    <w:name w:val="cat-UserDefined grp-53 rplc-44"/>
    <w:basedOn w:val="DefaultParagraphFont"/>
  </w:style>
  <w:style w:type="character" w:customStyle="1" w:styleId="cat-UserDefinedgrp-54rplc-46">
    <w:name w:val="cat-UserDefined grp-54 rplc-46"/>
    <w:basedOn w:val="DefaultParagraphFont"/>
  </w:style>
  <w:style w:type="character" w:customStyle="1" w:styleId="cat-UserDefinedgrp-55rplc-61">
    <w:name w:val="cat-UserDefined grp-55 rplc-61"/>
    <w:basedOn w:val="DefaultParagraphFont"/>
  </w:style>
  <w:style w:type="character" w:customStyle="1" w:styleId="cat-UserDefinedgrp-56rplc-63">
    <w:name w:val="cat-UserDefined grp-56 rplc-63"/>
    <w:basedOn w:val="DefaultParagraphFont"/>
  </w:style>
  <w:style w:type="character" w:customStyle="1" w:styleId="cat-UserDefinedgrp-57rplc-74">
    <w:name w:val="cat-UserDefined grp-57 rplc-7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F29C-AD74-4A98-A0CD-2555BFA5A44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